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pPr>
      <w:r w:rsidDel="00000000" w:rsidR="00000000" w:rsidRPr="00000000">
        <w:rPr>
          <w:b w:val="1"/>
          <w:rtl w:val="0"/>
        </w:rPr>
        <w:t xml:space="preserve">Time for All Ages:</w:t>
      </w:r>
      <w:r w:rsidDel="00000000" w:rsidR="00000000" w:rsidRPr="00000000">
        <w:rPr>
          <w:rtl w:val="0"/>
        </w:rPr>
        <w:t xml:space="preserve"> </w:t>
      </w:r>
      <w:r w:rsidDel="00000000" w:rsidR="00000000" w:rsidRPr="00000000">
        <w:rPr>
          <w:b w:val="1"/>
          <w:rtl w:val="0"/>
        </w:rPr>
        <w:t xml:space="preserve">Wisdom Tale:</w:t>
      </w:r>
      <w:r w:rsidDel="00000000" w:rsidR="00000000" w:rsidRPr="00000000">
        <w:rPr>
          <w:b w:val="1"/>
          <w:i w:val="1"/>
          <w:rtl w:val="0"/>
        </w:rPr>
        <w:t xml:space="preserve"> </w:t>
      </w:r>
      <w:hyperlink r:id="rId7">
        <w:r w:rsidDel="00000000" w:rsidR="00000000" w:rsidRPr="00000000">
          <w:rPr>
            <w:b w:val="1"/>
            <w:i w:val="1"/>
            <w:color w:val="0000ff"/>
            <w:u w:val="single"/>
            <w:rtl w:val="0"/>
          </w:rPr>
          <w:t xml:space="preserve">The Story of the Two Villagers and the Woven Tapestry </w:t>
        </w:r>
      </w:hyperlink>
      <w:hyperlink r:id="rId8">
        <w:r w:rsidDel="00000000" w:rsidR="00000000" w:rsidRPr="00000000">
          <w:rPr>
            <w:b w:val="1"/>
            <w:color w:val="0000ff"/>
            <w:u w:val="single"/>
            <w:rtl w:val="0"/>
          </w:rPr>
          <w:t xml:space="preserve">(A Modern Parable)</w:t>
        </w:r>
      </w:hyperlink>
      <w:r w:rsidDel="00000000" w:rsidR="00000000" w:rsidRPr="00000000">
        <w:rPr>
          <w:rtl w:val="0"/>
        </w:rPr>
        <w:t xml:space="preserve"> This story explores how we sometimes can’t fully recognize and welcome what others value and enjoy because we are too focused on what we personally value and enjoy.</w:t>
      </w:r>
    </w:p>
    <w:p w:rsidR="00000000" w:rsidDel="00000000" w:rsidP="00000000" w:rsidRDefault="00000000" w:rsidRPr="00000000" w14:paraId="00000002">
      <w:pPr>
        <w:spacing w:after="0" w:line="240" w:lineRule="auto"/>
        <w:rPr/>
      </w:pPr>
      <w:r w:rsidDel="00000000" w:rsidR="00000000" w:rsidRPr="00000000">
        <w:rPr>
          <w:rtl w:val="0"/>
        </w:rPr>
      </w:r>
    </w:p>
    <w:tbl>
      <w:tblPr>
        <w:tblStyle w:val="Table1"/>
        <w:tblW w:w="10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
        <w:gridCol w:w="1350"/>
        <w:gridCol w:w="2610"/>
        <w:gridCol w:w="5670"/>
        <w:tblGridChange w:id="0">
          <w:tblGrid>
            <w:gridCol w:w="445"/>
            <w:gridCol w:w="1350"/>
            <w:gridCol w:w="2610"/>
            <w:gridCol w:w="5670"/>
          </w:tblGrid>
        </w:tblGridChange>
      </w:tblGrid>
      <w:tr>
        <w:trPr>
          <w:cantSplit w:val="0"/>
          <w:tblHeader w:val="0"/>
        </w:trPr>
        <w:tc>
          <w:tcPr/>
          <w:p w:rsidR="00000000" w:rsidDel="00000000" w:rsidP="00000000" w:rsidRDefault="00000000" w:rsidRPr="00000000" w14:paraId="00000003">
            <w:pPr>
              <w:jc w:val="center"/>
              <w:rPr>
                <w:b w:val="1"/>
              </w:rPr>
            </w:pPr>
            <w:r w:rsidDel="00000000" w:rsidR="00000000" w:rsidRPr="00000000">
              <w:rPr>
                <w:b w:val="1"/>
                <w:rtl w:val="0"/>
              </w:rPr>
              <w:t xml:space="preserve">1</w:t>
            </w:r>
          </w:p>
        </w:tc>
        <w:tc>
          <w:tcPr/>
          <w:p w:rsidR="00000000" w:rsidDel="00000000" w:rsidP="00000000" w:rsidRDefault="00000000" w:rsidRPr="00000000" w14:paraId="00000004">
            <w:pPr>
              <w:jc w:val="center"/>
              <w:rPr>
                <w:b w:val="1"/>
              </w:rPr>
            </w:pPr>
            <w:r w:rsidDel="00000000" w:rsidR="00000000" w:rsidRPr="00000000">
              <w:rPr>
                <w:b w:val="1"/>
                <w:rtl w:val="0"/>
              </w:rPr>
              <w:t xml:space="preserve">10:45</w:t>
            </w:r>
          </w:p>
        </w:tc>
        <w:tc>
          <w:tcPr/>
          <w:p w:rsidR="00000000" w:rsidDel="00000000" w:rsidP="00000000" w:rsidRDefault="00000000" w:rsidRPr="00000000" w14:paraId="00000005">
            <w:pPr>
              <w:rPr/>
            </w:pPr>
            <w:r w:rsidDel="00000000" w:rsidR="00000000" w:rsidRPr="00000000">
              <w:rPr>
                <w:rtl w:val="0"/>
              </w:rPr>
              <w:t xml:space="preserve">Opening Words</w:t>
            </w:r>
          </w:p>
          <w:p w:rsidR="00000000" w:rsidDel="00000000" w:rsidP="00000000" w:rsidRDefault="00000000" w:rsidRPr="00000000" w14:paraId="00000006">
            <w:pPr>
              <w:tabs>
                <w:tab w:val="left" w:leader="none" w:pos="1610"/>
              </w:tabs>
              <w:rPr/>
            </w:pPr>
            <w:r w:rsidDel="00000000" w:rsidR="00000000" w:rsidRPr="00000000">
              <w:rPr>
                <w:rtl w:val="0"/>
              </w:rPr>
              <w:t xml:space="preserve">(30 seconds)</w:t>
              <w:tab/>
            </w:r>
          </w:p>
          <w:p w:rsidR="00000000" w:rsidDel="00000000" w:rsidP="00000000" w:rsidRDefault="00000000" w:rsidRPr="00000000" w14:paraId="00000007">
            <w:pPr>
              <w:tabs>
                <w:tab w:val="left" w:leader="none" w:pos="1610"/>
              </w:tabs>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t xml:space="preserve">Children recite the opening word with hand motions.</w:t>
            </w:r>
          </w:p>
          <w:p w:rsidR="00000000" w:rsidDel="00000000" w:rsidP="00000000" w:rsidRDefault="00000000" w:rsidRPr="00000000" w14:paraId="00000009">
            <w:pPr>
              <w:rPr/>
            </w:pPr>
            <w:r w:rsidDel="00000000" w:rsidR="00000000" w:rsidRPr="00000000">
              <w:rPr>
                <w:rtl w:val="0"/>
              </w:rPr>
              <w:t xml:space="preserve">(Touch elbows instead of holding hands)</w:t>
            </w:r>
          </w:p>
        </w:tc>
      </w:tr>
      <w:tr>
        <w:trPr>
          <w:cantSplit w:val="0"/>
          <w:tblHeader w:val="0"/>
        </w:trPr>
        <w:tc>
          <w:tcPr/>
          <w:p w:rsidR="00000000" w:rsidDel="00000000" w:rsidP="00000000" w:rsidRDefault="00000000" w:rsidRPr="00000000" w14:paraId="0000000A">
            <w:pPr>
              <w:jc w:val="center"/>
              <w:rPr>
                <w:b w:val="1"/>
              </w:rPr>
            </w:pPr>
            <w:r w:rsidDel="00000000" w:rsidR="00000000" w:rsidRPr="00000000">
              <w:rPr>
                <w:b w:val="1"/>
                <w:rtl w:val="0"/>
              </w:rPr>
              <w:t xml:space="preserve">2</w:t>
            </w:r>
          </w:p>
        </w:tc>
        <w:tc>
          <w:tcPr/>
          <w:p w:rsidR="00000000" w:rsidDel="00000000" w:rsidP="00000000" w:rsidRDefault="00000000" w:rsidRPr="00000000" w14:paraId="0000000B">
            <w:pPr>
              <w:rPr>
                <w:b w:val="1"/>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t xml:space="preserve">Chalice Lighting</w:t>
            </w:r>
          </w:p>
          <w:p w:rsidR="00000000" w:rsidDel="00000000" w:rsidP="00000000" w:rsidRDefault="00000000" w:rsidRPr="00000000" w14:paraId="0000000D">
            <w:pPr>
              <w:rPr/>
            </w:pPr>
            <w:r w:rsidDel="00000000" w:rsidR="00000000" w:rsidRPr="00000000">
              <w:rPr>
                <w:rtl w:val="0"/>
              </w:rPr>
              <w:t xml:space="preserve">(15 seconds)</w:t>
            </w:r>
          </w:p>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One child turns on the electric candle in the chalice (or lights votive).</w:t>
            </w:r>
          </w:p>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jc w:val="center"/>
              <w:rPr>
                <w:b w:val="1"/>
              </w:rPr>
            </w:pPr>
            <w:r w:rsidDel="00000000" w:rsidR="00000000" w:rsidRPr="00000000">
              <w:rPr>
                <w:b w:val="1"/>
                <w:rtl w:val="0"/>
              </w:rPr>
              <w:t xml:space="preserve">3</w:t>
            </w:r>
          </w:p>
        </w:tc>
        <w:tc>
          <w:tcPr/>
          <w:p w:rsidR="00000000" w:rsidDel="00000000" w:rsidP="00000000" w:rsidRDefault="00000000" w:rsidRPr="00000000" w14:paraId="00000012">
            <w:pPr>
              <w:jc w:val="center"/>
              <w:rPr>
                <w:b w:val="1"/>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t xml:space="preserve">Joys and Concerns</w:t>
            </w:r>
          </w:p>
          <w:p w:rsidR="00000000" w:rsidDel="00000000" w:rsidP="00000000" w:rsidRDefault="00000000" w:rsidRPr="00000000" w14:paraId="00000014">
            <w:pPr>
              <w:rPr/>
            </w:pPr>
            <w:r w:rsidDel="00000000" w:rsidR="00000000" w:rsidRPr="00000000">
              <w:rPr>
                <w:rtl w:val="0"/>
              </w:rPr>
              <w:t xml:space="preserve">(2-3 minutes)</w:t>
            </w:r>
          </w:p>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t xml:space="preserve">Each child can share one joy or concern and place a stone in the tray near the chalice. (No discussion occurs now.)</w:t>
            </w:r>
          </w:p>
        </w:tc>
      </w:tr>
      <w:tr>
        <w:trPr>
          <w:cantSplit w:val="0"/>
          <w:tblHeader w:val="0"/>
        </w:trPr>
        <w:tc>
          <w:tcPr/>
          <w:p w:rsidR="00000000" w:rsidDel="00000000" w:rsidP="00000000" w:rsidRDefault="00000000" w:rsidRPr="00000000" w14:paraId="00000017">
            <w:pPr>
              <w:jc w:val="center"/>
              <w:rPr>
                <w:b w:val="1"/>
              </w:rPr>
            </w:pPr>
            <w:r w:rsidDel="00000000" w:rsidR="00000000" w:rsidRPr="00000000">
              <w:rPr>
                <w:b w:val="1"/>
                <w:rtl w:val="0"/>
              </w:rPr>
              <w:t xml:space="preserve">4</w:t>
            </w:r>
          </w:p>
        </w:tc>
        <w:tc>
          <w:tcPr/>
          <w:p w:rsidR="00000000" w:rsidDel="00000000" w:rsidP="00000000" w:rsidRDefault="00000000" w:rsidRPr="00000000" w14:paraId="00000018">
            <w:pPr>
              <w:jc w:val="center"/>
              <w:rPr>
                <w:b w:val="1"/>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t xml:space="preserve">Discuss and Introduce Activity</w:t>
            </w:r>
          </w:p>
          <w:p w:rsidR="00000000" w:rsidDel="00000000" w:rsidP="00000000" w:rsidRDefault="00000000" w:rsidRPr="00000000" w14:paraId="0000001A">
            <w:pPr>
              <w:rPr/>
            </w:pPr>
            <w:r w:rsidDel="00000000" w:rsidR="00000000" w:rsidRPr="00000000">
              <w:rPr>
                <w:rtl w:val="0"/>
              </w:rPr>
              <w:t xml:space="preserve">(4-6minutes)</w:t>
            </w:r>
          </w:p>
          <w:p w:rsidR="00000000" w:rsidDel="00000000" w:rsidP="00000000" w:rsidRDefault="00000000" w:rsidRPr="00000000" w14:paraId="0000001B">
            <w:pPr>
              <w:rPr/>
            </w:pPr>
            <w:r w:rsidDel="00000000" w:rsidR="00000000" w:rsidRPr="00000000">
              <w:rPr>
                <w:rtl w:val="0"/>
              </w:rPr>
            </w:r>
          </w:p>
        </w:tc>
        <w:tc>
          <w:tcPr/>
          <w:p w:rsidR="00000000" w:rsidDel="00000000" w:rsidP="00000000" w:rsidRDefault="00000000" w:rsidRPr="00000000" w14:paraId="0000001C">
            <w:pPr>
              <w:spacing w:after="0" w:lineRule="auto"/>
              <w:rPr>
                <w:b w:val="1"/>
              </w:rPr>
            </w:pPr>
            <w:r w:rsidDel="00000000" w:rsidR="00000000" w:rsidRPr="00000000">
              <w:rPr>
                <w:b w:val="1"/>
                <w:rtl w:val="0"/>
              </w:rPr>
              <w:t xml:space="preserve">Reflection Prompts</w:t>
            </w:r>
          </w:p>
          <w:p w:rsidR="00000000" w:rsidDel="00000000" w:rsidP="00000000" w:rsidRDefault="00000000" w:rsidRPr="00000000" w14:paraId="0000001D">
            <w:pPr>
              <w:spacing w:after="0" w:lineRule="auto"/>
              <w:rPr/>
            </w:pPr>
            <w:r w:rsidDel="00000000" w:rsidR="00000000" w:rsidRPr="00000000">
              <w:rPr>
                <w:rtl w:val="0"/>
              </w:rPr>
              <w:t xml:space="preserve">● Did you notice what color Finn’s thread was? How was it described compared to the others? Why was this an important detail? </w:t>
            </w:r>
          </w:p>
          <w:p w:rsidR="00000000" w:rsidDel="00000000" w:rsidP="00000000" w:rsidRDefault="00000000" w:rsidRPr="00000000" w14:paraId="0000001E">
            <w:pPr>
              <w:spacing w:after="0" w:lineRule="auto"/>
              <w:rPr/>
            </w:pPr>
            <w:r w:rsidDel="00000000" w:rsidR="00000000" w:rsidRPr="00000000">
              <w:rPr>
                <w:rtl w:val="0"/>
              </w:rPr>
              <w:t xml:space="preserve">● Have you ever felt like Finn—nervous because you were new somewhere, or unsure if you’d be accepted? Who or what made you feel better?</w:t>
            </w:r>
          </w:p>
          <w:p w:rsidR="00000000" w:rsidDel="00000000" w:rsidP="00000000" w:rsidRDefault="00000000" w:rsidRPr="00000000" w14:paraId="0000001F">
            <w:pPr>
              <w:spacing w:after="0" w:lineRule="auto"/>
              <w:rPr/>
            </w:pPr>
            <w:r w:rsidDel="00000000" w:rsidR="00000000" w:rsidRPr="00000000">
              <w:rPr>
                <w:rtl w:val="0"/>
              </w:rPr>
              <w:t xml:space="preserve">● If you could talk to Finn, what would you say to him to make him feel included?</w:t>
            </w:r>
          </w:p>
          <w:p w:rsidR="00000000" w:rsidDel="00000000" w:rsidP="00000000" w:rsidRDefault="00000000" w:rsidRPr="00000000" w14:paraId="00000020">
            <w:pPr>
              <w:spacing w:after="0" w:lineRule="auto"/>
              <w:rPr/>
            </w:pPr>
            <w:r w:rsidDel="00000000" w:rsidR="00000000" w:rsidRPr="00000000">
              <w:rPr>
                <w:rtl w:val="0"/>
              </w:rPr>
              <w:t xml:space="preserve">● Can you think of a time when someone joined your group, class, or team and brought something new or unexpected that made things better?</w:t>
            </w:r>
          </w:p>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jc w:val="center"/>
              <w:rPr>
                <w:b w:val="1"/>
              </w:rPr>
            </w:pPr>
            <w:r w:rsidDel="00000000" w:rsidR="00000000" w:rsidRPr="00000000">
              <w:rPr>
                <w:b w:val="1"/>
                <w:rtl w:val="0"/>
              </w:rPr>
              <w:t xml:space="preserve">  5</w:t>
            </w:r>
          </w:p>
        </w:tc>
        <w:tc>
          <w:tcPr/>
          <w:p w:rsidR="00000000" w:rsidDel="00000000" w:rsidP="00000000" w:rsidRDefault="00000000" w:rsidRPr="00000000" w14:paraId="00000023">
            <w:pPr>
              <w:jc w:val="center"/>
              <w:rPr>
                <w:b w:val="1"/>
              </w:rPr>
            </w:pPr>
            <w:r w:rsidDel="00000000" w:rsidR="00000000" w:rsidRPr="00000000">
              <w:rPr>
                <w:b w:val="1"/>
                <w:rtl w:val="0"/>
              </w:rPr>
              <w:t xml:space="preserve">11:00</w:t>
            </w:r>
          </w:p>
        </w:tc>
        <w:tc>
          <w:tcPr/>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b w:val="1"/>
                <w:color w:val="000000"/>
                <w:rtl w:val="0"/>
              </w:rPr>
              <w:t xml:space="preserve">Hands-on Activity</w:t>
            </w:r>
          </w:p>
          <w:p w:rsidR="00000000" w:rsidDel="00000000" w:rsidP="00000000" w:rsidRDefault="00000000" w:rsidRPr="00000000" w14:paraId="00000025">
            <w:pPr>
              <w:rPr>
                <w:b w:val="1"/>
                <w:color w:val="000000"/>
              </w:rPr>
            </w:pPr>
            <w:r w:rsidDel="00000000" w:rsidR="00000000" w:rsidRPr="00000000">
              <w:rPr>
                <w:b w:val="1"/>
                <w:color w:val="000000"/>
                <w:rtl w:val="0"/>
              </w:rPr>
              <w:t xml:space="preserve">Set Up/Materials: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color w:val="000000"/>
                <w:rtl w:val="0"/>
              </w:rPr>
              <w:t xml:space="preserve">Gather and set out pre-cut squares of paper (about 4x4 inches) in various colors and patterns (or let kids cut their own), markers, crayons, stickers, scrap paper, glue sticks, a large sheet of butcher paper or poster board for assembling the quilt.</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center"/>
              <w:rPr>
                <w:b w:val="1"/>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center"/>
              <w:rPr>
                <w:b w:val="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center"/>
              <w:rPr>
                <w:b w:val="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Rule="auto"/>
              <w:ind w:left="360" w:hanging="360"/>
              <w:rPr>
                <w:b w:val="1"/>
                <w:color w:val="000000"/>
              </w:rPr>
            </w:pPr>
            <w:r w:rsidDel="00000000" w:rsidR="00000000" w:rsidRPr="00000000">
              <w:rPr>
                <w:b w:val="1"/>
                <w:color w:val="000000"/>
                <w:rtl w:val="0"/>
              </w:rPr>
              <w:t xml:space="preserve">Book Nook</w:t>
            </w:r>
          </w:p>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b w:val="1"/>
              </w:rPr>
            </w:pPr>
            <w:r w:rsidDel="00000000" w:rsidR="00000000" w:rsidRPr="00000000">
              <w:rPr>
                <w:b w:val="1"/>
                <w:rtl w:val="0"/>
              </w:rPr>
              <w:t xml:space="preserve">1 – Community Quilt Collage</w:t>
            </w:r>
          </w:p>
          <w:p w:rsidR="00000000" w:rsidDel="00000000" w:rsidP="00000000" w:rsidRDefault="00000000" w:rsidRPr="00000000" w14:paraId="0000003A">
            <w:pPr>
              <w:rPr>
                <w:b w:val="1"/>
              </w:rPr>
            </w:pPr>
            <w:r w:rsidDel="00000000" w:rsidR="00000000" w:rsidRPr="00000000">
              <w:rPr>
                <w:b w:val="1"/>
                <w:rtl w:val="0"/>
              </w:rPr>
              <w:t xml:space="preserve">Introduction: </w:t>
            </w:r>
            <w:r w:rsidDel="00000000" w:rsidR="00000000" w:rsidRPr="00000000">
              <w:rPr>
                <w:rtl w:val="0"/>
              </w:rPr>
              <w:t xml:space="preserve">Today, we are exploring how we can build belonging by widening our circles and being inclusive of everyone.  To help us do that, we are going to create a quilt collage. This project reminds us that, as UUs, we honor the fact that every person has something special to add, and we believe that our communities become more beautiful when we include everyone.</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Directions:</w:t>
            </w:r>
          </w:p>
          <w:p w:rsidR="00000000" w:rsidDel="00000000" w:rsidP="00000000" w:rsidRDefault="00000000" w:rsidRPr="00000000" w14:paraId="0000003D">
            <w:pPr>
              <w:rPr/>
            </w:pPr>
            <w:r w:rsidDel="00000000" w:rsidR="00000000" w:rsidRPr="00000000">
              <w:rPr>
                <w:rtl w:val="0"/>
              </w:rPr>
              <w:t xml:space="preserve">● Invite kids to each take a few paper “quilt squares” and decorate them in a way that represents something about themselves—what makes them unique or what they bring to the community.</w:t>
            </w:r>
          </w:p>
          <w:p w:rsidR="00000000" w:rsidDel="00000000" w:rsidP="00000000" w:rsidRDefault="00000000" w:rsidRPr="00000000" w14:paraId="0000003E">
            <w:pPr>
              <w:rPr/>
            </w:pPr>
            <w:r w:rsidDel="00000000" w:rsidR="00000000" w:rsidRPr="00000000">
              <w:rPr>
                <w:rtl w:val="0"/>
              </w:rPr>
              <w:t xml:space="preserve">● If kids are feeling stuck, you can prompt them with questions like “What makes you you?” “What do you love?” “What’s something you’re good at?”</w:t>
            </w:r>
          </w:p>
          <w:p w:rsidR="00000000" w:rsidDel="00000000" w:rsidP="00000000" w:rsidRDefault="00000000" w:rsidRPr="00000000" w14:paraId="0000003F">
            <w:pPr>
              <w:rPr/>
            </w:pPr>
            <w:r w:rsidDel="00000000" w:rsidR="00000000" w:rsidRPr="00000000">
              <w:rPr>
                <w:rtl w:val="0"/>
              </w:rPr>
              <w:t xml:space="preserve">● Once everyone is finished, work together to glue or tape the squares onto a large sheet, forming a quilt collage.</w:t>
            </w:r>
          </w:p>
          <w:p w:rsidR="00000000" w:rsidDel="00000000" w:rsidP="00000000" w:rsidRDefault="00000000" w:rsidRPr="00000000" w14:paraId="00000040">
            <w:pPr>
              <w:rPr/>
            </w:pPr>
            <w:r w:rsidDel="00000000" w:rsidR="00000000" w:rsidRPr="00000000">
              <w:rPr>
                <w:rtl w:val="0"/>
              </w:rPr>
              <w:t xml:space="preserve">● Display the quilt with a title like “We Belong Together” or “Our UU Community Quilt.”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i w:val="1"/>
              </w:rPr>
            </w:pPr>
            <w:r w:rsidDel="00000000" w:rsidR="00000000" w:rsidRPr="00000000">
              <w:rPr>
                <w:b w:val="1"/>
                <w:rtl w:val="0"/>
              </w:rPr>
              <w:t xml:space="preserve">Sum It Up: </w:t>
            </w:r>
            <w:r w:rsidDel="00000000" w:rsidR="00000000" w:rsidRPr="00000000">
              <w:rPr>
                <w:i w:val="1"/>
                <w:rtl w:val="0"/>
              </w:rPr>
              <w:t xml:space="preserve">This is what widening the circle looks like—making space for everyone’s story. Our quilt is strong and beautiful because everyone's square belongs and is included!</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2 </w:t>
            </w:r>
            <w:r w:rsidDel="00000000" w:rsidR="00000000" w:rsidRPr="00000000">
              <w:rPr>
                <w:rtl w:val="0"/>
              </w:rPr>
              <w:t xml:space="preserve">– </w:t>
            </w:r>
            <w:hyperlink r:id="rId9">
              <w:r w:rsidDel="00000000" w:rsidR="00000000" w:rsidRPr="00000000">
                <w:rPr>
                  <w:i w:val="1"/>
                  <w:color w:val="0000ff"/>
                  <w:u w:val="single"/>
                  <w:rtl w:val="0"/>
                </w:rPr>
                <w:t xml:space="preserve">The Invisible Boy by Trudy Ludwig and Patrice Barton</w:t>
              </w:r>
            </w:hyperlink>
            <w:r w:rsidDel="00000000" w:rsidR="00000000" w:rsidRPr="00000000">
              <w:rPr>
                <w:rtl w:val="0"/>
              </w:rPr>
              <w:t xml:space="preserve"> -  A gentle story that teaches how small acts of kindness can help children feel included and allow them to flourish.</w:t>
            </w:r>
          </w:p>
          <w:p w:rsidR="00000000" w:rsidDel="00000000" w:rsidP="00000000" w:rsidRDefault="00000000" w:rsidRPr="00000000" w14:paraId="00000045">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46">
            <w:pPr>
              <w:jc w:val="center"/>
              <w:rPr>
                <w:b w:val="1"/>
              </w:rPr>
            </w:pPr>
            <w:r w:rsidDel="00000000" w:rsidR="00000000" w:rsidRPr="00000000">
              <w:rPr>
                <w:b w:val="1"/>
                <w:rtl w:val="0"/>
              </w:rPr>
              <w:t xml:space="preserve">6</w:t>
            </w:r>
          </w:p>
        </w:tc>
        <w:tc>
          <w:tcPr/>
          <w:p w:rsidR="00000000" w:rsidDel="00000000" w:rsidP="00000000" w:rsidRDefault="00000000" w:rsidRPr="00000000" w14:paraId="00000047">
            <w:pPr>
              <w:jc w:val="center"/>
              <w:rPr>
                <w:b w:val="1"/>
              </w:rPr>
            </w:pPr>
            <w:r w:rsidDel="00000000" w:rsidR="00000000" w:rsidRPr="00000000">
              <w:rPr>
                <w:b w:val="1"/>
                <w:rtl w:val="0"/>
              </w:rPr>
              <w:t xml:space="preserve">11:30</w:t>
            </w:r>
          </w:p>
        </w:tc>
        <w:tc>
          <w:tcPr/>
          <w:p w:rsidR="00000000" w:rsidDel="00000000" w:rsidP="00000000" w:rsidRDefault="00000000" w:rsidRPr="00000000" w14:paraId="00000048">
            <w:pPr>
              <w:rPr/>
            </w:pPr>
            <w:r w:rsidDel="00000000" w:rsidR="00000000" w:rsidRPr="00000000">
              <w:rPr>
                <w:rtl w:val="0"/>
              </w:rPr>
              <w:t xml:space="preserve">Closing</w:t>
            </w:r>
          </w:p>
          <w:p w:rsidR="00000000" w:rsidDel="00000000" w:rsidP="00000000" w:rsidRDefault="00000000" w:rsidRPr="00000000" w14:paraId="00000049">
            <w:pPr>
              <w:rPr/>
            </w:pPr>
            <w:r w:rsidDel="00000000" w:rsidR="00000000" w:rsidRPr="00000000">
              <w:rPr>
                <w:rtl w:val="0"/>
              </w:rPr>
              <w:t xml:space="preserve">(1-2 minutes)</w:t>
            </w:r>
          </w:p>
        </w:tc>
        <w:tc>
          <w:tcPr/>
          <w:p w:rsidR="00000000" w:rsidDel="00000000" w:rsidP="00000000" w:rsidRDefault="00000000" w:rsidRPr="00000000" w14:paraId="0000004A">
            <w:pPr>
              <w:rPr/>
            </w:pPr>
            <w:r w:rsidDel="00000000" w:rsidR="00000000" w:rsidRPr="00000000">
              <w:rPr>
                <w:rtl w:val="0"/>
              </w:rPr>
              <w:t xml:space="preserve">Children clean up, gather again to review the day’s session, and extinguish the chalice. Even though the formal session is over, let the children stay in the room for social time until someone comes to get them or 12:00, whichever comes first.</w:t>
            </w:r>
          </w:p>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88"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color w:val="000000"/>
      </w:rPr>
    </w:pPr>
    <w:r w:rsidDel="00000000" w:rsidR="00000000" w:rsidRPr="00000000">
      <w:rPr>
        <w:b w:val="1"/>
        <w:color w:val="000000"/>
        <w:rtl w:val="0"/>
      </w:rPr>
      <w:t xml:space="preserve">UU Children’s RE Lesson Plan </w:t>
      <w:tab/>
      <w:tab/>
      <w:t xml:space="preserve">Date: September 21, 2025</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bookmarkStart w:colFirst="0" w:colLast="0" w:name="_heading=h.5o4f9ivkuft" w:id="0"/>
    <w:bookmarkEnd w:id="0"/>
    <w:r w:rsidDel="00000000" w:rsidR="00000000" w:rsidRPr="00000000">
      <w:rPr>
        <w:b w:val="1"/>
        <w:color w:val="000000"/>
        <w:rtl w:val="0"/>
      </w:rPr>
      <w:t xml:space="preserve">Theme for today: </w:t>
    </w:r>
    <w:r w:rsidDel="00000000" w:rsidR="00000000" w:rsidRPr="00000000">
      <w:rPr>
        <w:b w:val="1"/>
        <w:i w:val="1"/>
        <w:color w:val="000000"/>
        <w:rtl w:val="0"/>
      </w:rPr>
      <w:t xml:space="preserve">Pluralism, Widen the Circle </w:t>
    </w:r>
    <w:r w:rsidDel="00000000" w:rsidR="00000000" w:rsidRPr="00000000">
      <w:rPr>
        <w:color w:val="000000"/>
        <w:rtl w:val="0"/>
      </w:rPr>
      <w:t xml:space="preserve">– All this month, we are exploring some of the ways we build belonging in our Unitarian Universalist communities. This week, we are exploring how our faith gives us the “building instructions” of “Widen the circle!” As we explore that, we will have the chance to lift up our UU Value of Pluralism, and its call to embrace our differences and commonalities with love, curiosity, &amp; respect.</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E217C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17C4"/>
  </w:style>
  <w:style w:type="paragraph" w:styleId="Footer">
    <w:name w:val="footer"/>
    <w:basedOn w:val="Normal"/>
    <w:link w:val="FooterChar"/>
    <w:uiPriority w:val="99"/>
    <w:unhideWhenUsed w:val="1"/>
    <w:rsid w:val="00E217C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17C4"/>
  </w:style>
  <w:style w:type="character" w:styleId="Hyperlink">
    <w:name w:val="Hyperlink"/>
    <w:basedOn w:val="DefaultParagraphFont"/>
    <w:uiPriority w:val="99"/>
    <w:unhideWhenUsed w:val="1"/>
    <w:rsid w:val="00AC769B"/>
    <w:rPr>
      <w:color w:val="0000ff" w:themeColor="hyperlink"/>
      <w:u w:val="single"/>
    </w:rPr>
  </w:style>
  <w:style w:type="character" w:styleId="UnresolvedMention">
    <w:name w:val="Unresolved Mention"/>
    <w:basedOn w:val="DefaultParagraphFont"/>
    <w:uiPriority w:val="99"/>
    <w:semiHidden w:val="1"/>
    <w:unhideWhenUsed w:val="1"/>
    <w:rsid w:val="00AC769B"/>
    <w:rPr>
      <w:color w:val="605e5c"/>
      <w:shd w:color="auto" w:fill="e1dfdd" w:val="clear"/>
    </w:rPr>
  </w:style>
  <w:style w:type="character" w:styleId="FollowedHyperlink">
    <w:name w:val="FollowedHyperlink"/>
    <w:basedOn w:val="DefaultParagraphFont"/>
    <w:uiPriority w:val="99"/>
    <w:semiHidden w:val="1"/>
    <w:unhideWhenUsed w:val="1"/>
    <w:rsid w:val="006D4C93"/>
    <w:rPr>
      <w:color w:val="800080" w:themeColor="followedHyperlink"/>
      <w:u w:val="single"/>
    </w:rPr>
  </w:style>
  <w:style w:type="paragraph" w:styleId="ListParagraph">
    <w:name w:val="List Paragraph"/>
    <w:basedOn w:val="Normal"/>
    <w:uiPriority w:val="34"/>
    <w:qFormat w:val="1"/>
    <w:rsid w:val="000716B4"/>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Invisible-Boy-Trudy-Ludwig/dp/1582464502/ref=sr_1_1?crid=2UGD84BSEYKF2&amp;dib=eyJ2IjoiMSJ9.EnQCP5gRbQyp6b7ELg0N694Z0x9O_UJq7O5z43CdgX35WXeQw3SHVDfpkTPlLyHsIlyfg9NjrTMP8SVi4kkyn-razaAzzWdAuqsabdVEQ9y7o1nknBmk146EenXBhmOI2HJuAc928zLbZxtXvDedY4w3N4Pybk2OVvoxYUQNlL1gkUx86c7UDqkiMIKXWykIS0jCux2BjMBGMhdm3ApJOlVePQ3HqznU25n5j7Jq8qY.5vZcRl6x0fOAjXzNXUc2GZiEKMYZzjyU-kMjLpiJG8M&amp;dib_tag=se&amp;keywords=The+Invisible+Boy+by+Trudy+Ludwig&amp;qid=1754682688&amp;sprefix=the+invisible+boy+by+trudy+ludwig%2Caps%2C566&amp;sr=8-1"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M4QKVcn_x0Ks4RYJH0UsPo3rYuCPYQ84/view?usp=drive_link" TargetMode="External"/><Relationship Id="rId8" Type="http://schemas.openxmlformats.org/officeDocument/2006/relationships/hyperlink" Target="https://drive.google.com/file/d/1M4QKVcn_x0Ks4RYJH0UsPo3rYuCPYQ84/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ZMVYOmgzKMds7iX35zW/+73ag==">CgMxLjAyDWguNW80Zjlpdmt1ZnQ4AHIhMWlFVzFGRlMtckFjS2RDZDdaN2hOc0xFam8xRThyRUVu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2024-02-16T12:43:00Z</dcterms:created>
  <dc:creator>Jim Coakley</dc:creator>
</cp:coreProperties>
</file>